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86"/>
          <w:tab w:val="right" w:leader="none" w:pos="9384"/>
        </w:tabs>
        <w:spacing w:after="0" w:before="0" w:line="240" w:lineRule="auto"/>
        <w:ind w:left="0" w:right="0" w:firstLine="0"/>
        <w:jc w:val="righ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Natal,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xx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xxxx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de 2025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1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empresa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°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CEP 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-</w:t>
      </w: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left"/>
        <w:rPr>
          <w:rFonts w:ascii="Cambria" w:cs="Cambria" w:eastAsia="Cambria" w:hAnsi="Cambria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Att.: Sr. </w:t>
      </w: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xxxxx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20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sz w:val="22"/>
          <w:szCs w:val="22"/>
          <w:rtl w:val="0"/>
        </w:rPr>
        <w:t xml:space="preserve">xxxx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09" w:right="0" w:firstLine="0"/>
        <w:jc w:val="left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Caro </w:t>
      </w: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rtl w:val="0"/>
        </w:rPr>
        <w:t xml:space="preserve">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,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Segue a carta-convite para que a </w:t>
      </w:r>
      <w:r w:rsidDel="00000000" w:rsidR="00000000" w:rsidRPr="00000000">
        <w:rPr>
          <w:rFonts w:ascii="Cambria" w:cs="Cambria" w:eastAsia="Cambria" w:hAnsi="Cambria"/>
          <w:b w:val="1"/>
          <w:sz w:val="22"/>
          <w:szCs w:val="22"/>
          <w:u w:val="single"/>
          <w:rtl w:val="0"/>
        </w:rPr>
        <w:t xml:space="preserve">xxxxx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sz w:val="22"/>
          <w:szCs w:val="22"/>
          <w:u w:val="none"/>
          <w:shd w:fill="auto" w:val="clear"/>
          <w:vertAlign w:val="baseline"/>
          <w:rtl w:val="0"/>
        </w:rPr>
        <w:t xml:space="preserve">venha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 fazer parte do grupo de mantenedores do Centro de Estratégias em Recursos Naturais e Energia (“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”) na categoria estatutária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Mantenedor-Empreendedor.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Conforme o interesse manifestado pela sua empresa, encaminhamos a presente proposta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Associação ao CERNE na categoria de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Mantenedor-Empreendedor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na forma das alternativas seguintes: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1066" w:right="403" w:hanging="36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Mantenedor-Empreendedor Master: no valor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trimestral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R$ 30.000,00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(equivalente a R$ 10.000,00 mensais), que abrange a participação direta em todas as comissões executivas e temáticas (conforme listadas no Anexo I) por meio de até dois representantes indicados pela empresa, bem como o direito à participação do seu CEO/Presidente no Conselho de Mantenedores, e direito a voto com peso [1+1/2] nas deliberações.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1066" w:right="403" w:hanging="36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Mantenedor-Empreendedor Pleno: no valor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trimestral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R$ 13.000,00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(equivalente a R$ 4.333,33 mensais), que abrange a participação direta em até duas comissões executivas (conforme listadas no Anexo I), podendo aderir a outras, via contribuições especiais suplementares, e direito à participação do seu CEO/Presidente no Conselho de Mantenedores, e direito a voto com peso [1] nas deliberações.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Histórico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Fundado em 2010 como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primeiro </w:t>
      </w: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think-tank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do Nordeste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brasileiro, 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tem tido papel de liderança e influência na concepção, discussão e execução de estratégias e projetos relacionados a recursos naturais e energia.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 2025, o Conselho de Mantenedores do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alterou o seu foco geográfico para se especializar ainda mais o chamado “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Brasil Equatorial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”, sem deixar de ter a totalidade das regiões Norte e Nordeste do Brasil e países vizinhos a elas como ambiente de influência.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 a recente reintegração do ex-presidente da Petrobras e senador Jean-Paul Prates, que assume a presidência do Conselho de Mantenedores, 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também promoveu uma atualização do seu modelo de governança e fortaleceu sua presença institucional nacional.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Mantenedores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mantenedores do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participam diretamente da formulação de estratégias e do acompanhamento, análises, deliberações e posicionamentos sobre questões conectadas diretamente os investimentos, operações e oportunidades nos setores econômicos relacionados com recursos naturais e energia na região setentrional do País, em especial o “Brasil Equatorial”.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Estratégias e Comissões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também mantém relação direta e constante com governos, entidades setoriais, órgãos reguladores e licenciadores, universidades, centros de pesquisa e instituições de fomento, entre outras, quanto a questões regulatórias, fundiárias, fiscais, ambientais e operacionais, desenvolvimento dos mercados e das cadeias produtivas das indústrias relacionadas a recursos naturais e energia, obras públicas de infraestrutura, serviços de apoio local, entre outras atribuições e funções.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execução das estratégias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definidas se dá por meio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comissões executivas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projetos estratégicos, programas de trabalho e observatórios institucionais, além de campanhas de conscientização e ações socioambientais, aos quais os mantenedores têm acesso através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contribuições suplementares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específicas.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Além das atividades regulares e das comissões, programas e campanhas especiais, os associados das categorias estatutárias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Mantenedor-Empreendedor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Mantenedor-Fornecedor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podem também solicitar propostas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suporte técnico adicional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para o atendimento de demandas setoriais ou específicas.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setores nos quais 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atua são fortemente regulados e expostos a constantes mudanças regulatórias e legislativas. Por esta razão, o acompanhamento e o diálogo com o poder público e a interação técnica com os atores políticos é fundamental.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706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equipe do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agradece a sua confiança na efetividade da nossa atuação em prol do fortalecimento das nossas regiões nos cenários de recursos naturais e energia nacional e internacional.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Atenciosamente,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984250</wp:posOffset>
            </wp:positionH>
            <wp:positionV relativeFrom="paragraph">
              <wp:posOffset>6985</wp:posOffset>
            </wp:positionV>
            <wp:extent cx="756920" cy="545465"/>
            <wp:effectExtent b="0" l="0" r="0" t="0"/>
            <wp:wrapNone/>
            <wp:docPr descr="Imagem 1" id="2006798478" name="image2.png"/>
            <a:graphic>
              <a:graphicData uri="http://schemas.openxmlformats.org/drawingml/2006/picture">
                <pic:pic>
                  <pic:nvPicPr>
                    <pic:cNvPr descr="Imagem 1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56920" cy="54546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_________________________________________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410" w:firstLine="720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   Darlan Santos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41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              Diretor-Presidente</w:t>
        <w:tab/>
        <w:tab/>
        <w:tab/>
        <w:tab/>
        <w:tab/>
        <w:tab/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ANEXO I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CATEGORIAS ASSOCIATIVAS E CONTRIBUIÇÕES TITULARES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De acordo com os estatutos do CERNE, as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categorias associativas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 suas respectivas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contribuições associativas trimestrais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regulares, recolhidas sempre relativamente aos meses a vencer, são as seguintes: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993" w:hanging="479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Mantenedores-Empreendedores: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grupos proprietários de empreendimentos de grande porte, seus sócios, financiadores, investidores e operadores, que contribuem com a cota regular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master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(R$30.000,00) ou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pleno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(R$ 13.000,00) por trimestre, e peso de 1+1/2 (master) ou 1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voto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(pleno) no Conselho de Mantenedores e direito à participação nas comissões: todas (master) ou 2 (pleno);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993" w:hanging="479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Mantenedores-Fornecedores: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empresas fabricantes de equipamentos, fornecedores, importadores ou prestadores de serviço de médio/grande porte, que contribuem com a cota regular de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R$ 8.000,00 por trimestre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têm peso de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½ voto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no Conselho de Mantenedores e direito à participação na CE1 – Comissão Executiva de Fornecedores podendo aderir a outras, via contribuições especiais suplementares.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993" w:hanging="479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Empresas-Convidadas: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empresas locais/regionais ou empresas convidadas por contribuição regular de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  <w:rtl w:val="0"/>
        </w:rPr>
        <w:t xml:space="preserve">R$ 1.500,00 por trimestre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, que não têm direito a voto e não participam do Conselho de Mantenedores, podendo ser convidadas a participar em uma comissão e aderir a outras, via contribuições especiais suplementares; </w:t>
        <w:tab/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993" w:hanging="479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Patronos Institucionais: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instituições públicas ou privadas de qualquer natureza jurídica que desenvolvam atividades ou atuem em área de interesse do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CERNE,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cujas participações sejam definidas caso a caso e de acordo com o setor relevante, via Termo de Convênio de Cooperação específico, sem direito a voto;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709" w:right="993" w:hanging="479"/>
        <w:jc w:val="both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Patronos Beneméritos: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personalidades ou entidades de destaque nos campos de atuação do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CERNE 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ou que, ao longo do desenvolvimento das suas atividades, venham a contribuir de forma significativa para a expansão e consolidação das finalidades da entidade, sem direito a voto.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88" w:lineRule="auto"/>
        <w:ind w:left="0" w:right="403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contribuição associativa regular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recolhida trimestralmente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sempre relativamente ao período a vencer e será </w:t>
      </w: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corrigida bienalmente</w:t>
      </w: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pelo IPCA do segundo trimestre de cada dois anos. Adicionalmente à contribuição associativa regular, as categorias i (pleno), ii e iii podem optar por participar de mais comissões executivas e programas de apoio, projetos e campanhas mediante contribuição suplementar de adesão. Tal escolha pode ser manifestada a qualquer momento por meio de carta simples ou pela rubrica na respectiva linha da tabela a seguir.</w:t>
      </w:r>
    </w:p>
    <w:p w:rsidR="00000000" w:rsidDel="00000000" w:rsidP="00000000" w:rsidRDefault="00000000" w:rsidRPr="00000000" w14:paraId="00000035">
      <w:pPr>
        <w:rPr>
          <w:rFonts w:ascii="Cambria" w:cs="Cambria" w:eastAsia="Cambria" w:hAnsi="Cambria"/>
          <w:b w:val="1"/>
          <w:color w:val="000000"/>
          <w:u w:val="no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CONTRIBUIÇÕES ASSOCIATIVAS EFETIVADAS</w:t>
      </w:r>
    </w:p>
    <w:tbl>
      <w:tblPr>
        <w:tblStyle w:val="Table1"/>
        <w:tblW w:w="93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23"/>
        <w:gridCol w:w="3685"/>
        <w:gridCol w:w="1886"/>
        <w:tblGridChange w:id="0">
          <w:tblGrid>
            <w:gridCol w:w="3823"/>
            <w:gridCol w:w="3685"/>
            <w:gridCol w:w="1886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7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2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Mantenedor–Empreendedor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Valor da Contribuição Trimestral</w:t>
            </w:r>
          </w:p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 ) MASTER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R$ 30.000,00</w:t>
            </w:r>
          </w:p>
          <w:p w:rsidR="00000000" w:rsidDel="00000000" w:rsidP="00000000" w:rsidRDefault="00000000" w:rsidRPr="00000000" w14:paraId="0000003B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- inclui todas as comissões</w:t>
            </w:r>
          </w:p>
          <w:p w:rsidR="00000000" w:rsidDel="00000000" w:rsidP="00000000" w:rsidRDefault="00000000" w:rsidRPr="00000000" w14:paraId="0000003C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(   ) PLENO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: R$ 13.000,00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- inclui apenas 2 comissões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E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rPr>
                <w:rFonts w:ascii="Cambria" w:cs="Cambria" w:eastAsia="Cambria" w:hAnsi="Cambria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0">
            <w:pPr>
              <w:rPr>
                <w:sz w:val="22"/>
                <w:szCs w:val="22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sz w:val="20"/>
                <w:szCs w:val="20"/>
                <w:rtl w:val="0"/>
              </w:rPr>
              <w:t xml:space="preserve">Autorizada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41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2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Contribuições Suplementares de Adesão a Comissões e Campanhas</w:t>
            </w:r>
          </w:p>
          <w:p w:rsidR="00000000" w:rsidDel="00000000" w:rsidP="00000000" w:rsidRDefault="00000000" w:rsidRPr="00000000" w14:paraId="00000042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PG7 - CIDADES DOS VENTOS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-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Programa Socioambiental “Cidades dos Ventos” - Apoio às Comunidades e à Gestão dos Municípios e Estados com Empreendimentos Eólicos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4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color="000000" w:space="1" w:sz="4" w:val="single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Valor da Contribuição Suplementar </w:t>
            </w:r>
          </w:p>
          <w:p w:rsidR="00000000" w:rsidDel="00000000" w:rsidP="00000000" w:rsidRDefault="00000000" w:rsidRPr="00000000" w14:paraId="00000044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R$ 667,00 para não Mantenedores; R$ 3.667,00 para não Mantenedores</w:t>
            </w:r>
          </w:p>
        </w:tc>
        <w:tc>
          <w:tcPr/>
          <w:p w:rsidR="00000000" w:rsidDel="00000000" w:rsidP="00000000" w:rsidRDefault="00000000" w:rsidRPr="00000000" w14:paraId="00000045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br w:type="textWrapping"/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CE1 -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FORNECEDORES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o Desenvolvimento e Alianças de Fornecedores Locais para o Setor Energético e de Recursos Naturais</w:t>
            </w:r>
          </w:p>
        </w:tc>
        <w:tc>
          <w:tcPr/>
          <w:p w:rsidR="00000000" w:rsidDel="00000000" w:rsidP="00000000" w:rsidRDefault="00000000" w:rsidRPr="00000000" w14:paraId="0000004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8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R$ 1.000,00 (Apenas para Fornecedores, R$ 0 para Empreendedores) </w:t>
            </w:r>
          </w:p>
        </w:tc>
        <w:tc>
          <w:tcPr/>
          <w:p w:rsidR="00000000" w:rsidDel="00000000" w:rsidP="00000000" w:rsidRDefault="00000000" w:rsidRPr="00000000" w14:paraId="00000049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CE2 -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OFFSHORE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a Promoção e a Regulamentação do Offshore Energético Brasileiro</w:t>
            </w:r>
          </w:p>
        </w:tc>
        <w:tc>
          <w:tcPr/>
          <w:p w:rsidR="00000000" w:rsidDel="00000000" w:rsidP="00000000" w:rsidRDefault="00000000" w:rsidRPr="00000000" w14:paraId="0000004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R$ 2.000,00 </w:t>
            </w:r>
          </w:p>
        </w:tc>
        <w:tc>
          <w:tcPr/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CE3 -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LICENCIAMENTO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Eficientização dos Procedimentos para o Licenciamento Ambiental</w:t>
            </w:r>
          </w:p>
        </w:tc>
        <w:tc>
          <w:tcPr/>
          <w:p w:rsidR="00000000" w:rsidDel="00000000" w:rsidP="00000000" w:rsidRDefault="00000000" w:rsidRPr="00000000" w14:paraId="0000004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0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R$ 1.000,00</w:t>
            </w:r>
          </w:p>
        </w:tc>
        <w:tc>
          <w:tcPr/>
          <w:p w:rsidR="00000000" w:rsidDel="00000000" w:rsidP="00000000" w:rsidRDefault="00000000" w:rsidRPr="00000000" w14:paraId="00000051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CE4 -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SEGURANÇA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Melhoria na Segurança nos Parques Geradores de Energia por Fontes Renováveis</w:t>
            </w:r>
          </w:p>
        </w:tc>
        <w:tc>
          <w:tcPr/>
          <w:p w:rsidR="00000000" w:rsidDel="00000000" w:rsidP="00000000" w:rsidRDefault="00000000" w:rsidRPr="00000000" w14:paraId="0000005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R$ 1.000,00</w:t>
            </w:r>
          </w:p>
        </w:tc>
        <w:tc>
          <w:tcPr/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6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CE5 -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ASSENTAMENTOS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Regulamentação e Monitoramento de Atividades Energéticas em Assentamentos da Reforma Agrária</w:t>
            </w:r>
          </w:p>
        </w:tc>
        <w:tc>
          <w:tcPr/>
          <w:p w:rsidR="00000000" w:rsidDel="00000000" w:rsidP="00000000" w:rsidRDefault="00000000" w:rsidRPr="00000000" w14:paraId="0000005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8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R$ 1.000,00</w:t>
            </w:r>
          </w:p>
        </w:tc>
        <w:tc>
          <w:tcPr/>
          <w:p w:rsidR="00000000" w:rsidDel="00000000" w:rsidP="00000000" w:rsidRDefault="00000000" w:rsidRPr="00000000" w14:paraId="00000059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A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CE6 -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DATACENTERS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para Desenvolvimento e Integração de Datacenters Verdes com o Setor Energético</w:t>
            </w:r>
          </w:p>
        </w:tc>
        <w:tc>
          <w:tcPr/>
          <w:p w:rsidR="00000000" w:rsidDel="00000000" w:rsidP="00000000" w:rsidRDefault="00000000" w:rsidRPr="00000000" w14:paraId="000000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R$ 2.000,00</w:t>
            </w:r>
          </w:p>
        </w:tc>
        <w:tc>
          <w:tcPr/>
          <w:p w:rsidR="00000000" w:rsidDel="00000000" w:rsidP="00000000" w:rsidRDefault="00000000" w:rsidRPr="00000000" w14:paraId="0000005D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E">
            <w:pPr>
              <w:keepNext w:val="0"/>
              <w:keepLines w:val="0"/>
              <w:pageBreakBefore w:val="0"/>
              <w:widowControl w:val="1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CE7 -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REPOTENCIALIZAÇÃO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 - Comissão Executiva de Repotencialização e Descomissionamento de Usinas </w:t>
            </w:r>
          </w:p>
        </w:tc>
        <w:tc>
          <w:tcPr/>
          <w:p w:rsidR="00000000" w:rsidDel="00000000" w:rsidP="00000000" w:rsidRDefault="00000000" w:rsidRPr="00000000" w14:paraId="0000005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39" w:firstLine="0"/>
              <w:jc w:val="left"/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2"/>
                <w:szCs w:val="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993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Mensal</w:t>
            </w: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: R$ 2.000,00</w:t>
            </w:r>
          </w:p>
        </w:tc>
        <w:tc>
          <w:tcPr/>
          <w:p w:rsidR="00000000" w:rsidDel="00000000" w:rsidP="00000000" w:rsidRDefault="00000000" w:rsidRPr="00000000" w14:paraId="00000061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tabs>
                <w:tab w:val="left" w:leader="none" w:pos="569"/>
                <w:tab w:val="left" w:leader="none" w:pos="709"/>
                <w:tab w:val="left" w:leader="none" w:pos="3030"/>
              </w:tabs>
              <w:spacing w:after="12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Rubricar caso </w:t>
            </w:r>
            <w:r w:rsidDel="00000000" w:rsidR="00000000" w:rsidRPr="00000000">
              <w:rPr>
                <w:rFonts w:ascii="Cambria" w:cs="Cambria" w:eastAsia="Cambria" w:hAnsi="Cambria"/>
                <w:b w:val="1"/>
                <w:i w:val="1"/>
                <w:smallCaps w:val="0"/>
                <w:strike w:val="0"/>
                <w:color w:val="000000"/>
                <w:sz w:val="15"/>
                <w:szCs w:val="15"/>
                <w:u w:val="none"/>
                <w:shd w:fill="auto" w:val="clear"/>
                <w:vertAlign w:val="baseline"/>
                <w:rtl w:val="0"/>
              </w:rPr>
              <w:t xml:space="preserve">SIM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394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697"/>
        <w:gridCol w:w="4697"/>
        <w:tblGridChange w:id="0">
          <w:tblGrid>
            <w:gridCol w:w="4697"/>
            <w:gridCol w:w="4697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Atenciosamente,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4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Aceite pelo responsável: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1" distB="0" distT="0" distL="114300" distR="114300" hidden="0" layoutInCell="1" locked="0" relativeHeight="0" simplePos="0">
                  <wp:simplePos x="0" y="0"/>
                  <wp:positionH relativeFrom="column">
                    <wp:posOffset>461713</wp:posOffset>
                  </wp:positionH>
                  <wp:positionV relativeFrom="paragraph">
                    <wp:posOffset>27305</wp:posOffset>
                  </wp:positionV>
                  <wp:extent cx="904446" cy="620848"/>
                  <wp:effectExtent b="0" l="0" r="0" t="0"/>
                  <wp:wrapNone/>
                  <wp:docPr id="2006798480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4446" cy="6208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66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______________________________</w:t>
            </w:r>
          </w:p>
          <w:p w:rsidR="00000000" w:rsidDel="00000000" w:rsidP="00000000" w:rsidRDefault="00000000" w:rsidRPr="00000000" w14:paraId="00000068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Darlan Santos</w:t>
            </w:r>
          </w:p>
          <w:p w:rsidR="00000000" w:rsidDel="00000000" w:rsidP="00000000" w:rsidRDefault="00000000" w:rsidRPr="00000000" w14:paraId="00000069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Diretor Presidente</w:t>
            </w:r>
          </w:p>
          <w:p w:rsidR="00000000" w:rsidDel="00000000" w:rsidP="00000000" w:rsidRDefault="00000000" w:rsidRPr="00000000" w14:paraId="0000006A">
            <w:pPr>
              <w:rPr/>
            </w:pPr>
            <w:r w:rsidDel="00000000" w:rsidR="00000000" w:rsidRPr="00000000">
              <w:rPr>
                <w:i w:val="1"/>
                <w:sz w:val="16"/>
                <w:szCs w:val="16"/>
                <w:rtl w:val="0"/>
              </w:rPr>
              <w:t xml:space="preserve">Centro de Estratégias em Recursos Naturais e Energia – CERNE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C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D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single"/>
                <w:shd w:fill="auto" w:val="clear"/>
                <w:vertAlign w:val="baseline"/>
                <w:rtl w:val="0"/>
              </w:rPr>
              <w:t xml:space="preserve">______________________________</w:t>
            </w:r>
          </w:p>
          <w:p w:rsidR="00000000" w:rsidDel="00000000" w:rsidP="00000000" w:rsidRDefault="00000000" w:rsidRPr="00000000" w14:paraId="0000006F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ff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1"/>
                <w:smallCaps w:val="0"/>
                <w:strike w:val="0"/>
                <w:color w:val="ff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i w:val="1"/>
                <w:color w:val="ff0000"/>
                <w:sz w:val="16"/>
                <w:szCs w:val="16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1">
            <w:pPr>
              <w:keepNext w:val="0"/>
              <w:keepLines w:val="0"/>
              <w:pageBreakBefore w:val="0"/>
              <w:widowControl w:val="0"/>
              <w:pBdr>
                <w:top w:color="000000" w:space="0" w:sz="0" w:val="none"/>
                <w:left w:color="000000" w:space="0" w:sz="0" w:val="none"/>
                <w:bottom w:color="000000" w:space="0" w:sz="0" w:val="none"/>
                <w:right w:color="000000" w:space="0" w:sz="0" w:val="none"/>
                <w:between w:color="000000" w:space="0" w:sz="0" w:val="none"/>
              </w:pBdr>
              <w:shd w:fill="auto" w:val="clear"/>
              <w:spacing w:after="0" w:before="3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b w:val="1"/>
                <w:i w:val="1"/>
                <w:color w:val="ff0000"/>
                <w:sz w:val="16"/>
                <w:szCs w:val="16"/>
                <w:rtl w:val="0"/>
              </w:rPr>
              <w:t xml:space="preserve">xxxx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ANEXO II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center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6"/>
          <w:szCs w:val="26"/>
          <w:u w:val="none"/>
          <w:shd w:fill="auto" w:val="clear"/>
          <w:vertAlign w:val="baseline"/>
          <w:rtl w:val="0"/>
        </w:rPr>
        <w:t xml:space="preserve">DADOS CADASTRAIS</w:t>
      </w:r>
      <w:r w:rsidDel="00000000" w:rsidR="00000000" w:rsidRPr="00000000">
        <w:rPr>
          <w:rtl w:val="0"/>
        </w:rPr>
      </w:r>
    </w:p>
    <w:tbl>
      <w:tblPr>
        <w:tblStyle w:val="Table3"/>
        <w:tblW w:w="9063.0" w:type="dxa"/>
        <w:jc w:val="left"/>
        <w:tblInd w:w="108.0" w:type="dxa"/>
        <w:tblBorders>
          <w:top w:color="ffffff" w:space="0" w:sz="8" w:val="single"/>
          <w:left w:color="ffffff" w:space="0" w:sz="8" w:val="single"/>
          <w:bottom w:color="ffffff" w:space="0" w:sz="8" w:val="single"/>
          <w:right w:color="ffffff" w:space="0" w:sz="8" w:val="single"/>
          <w:insideH w:color="ffffff" w:space="0" w:sz="8" w:val="single"/>
          <w:insideV w:color="ffffff" w:space="0" w:sz="8" w:val="single"/>
        </w:tblBorders>
        <w:tblLayout w:type="fixed"/>
        <w:tblLook w:val="0400"/>
      </w:tblPr>
      <w:tblGrid>
        <w:gridCol w:w="4390"/>
        <w:gridCol w:w="4673"/>
        <w:tblGridChange w:id="0">
          <w:tblGrid>
            <w:gridCol w:w="4390"/>
            <w:gridCol w:w="4673"/>
          </w:tblGrid>
        </w:tblGridChange>
      </w:tblGrid>
      <w:tr>
        <w:trPr>
          <w:cantSplit w:val="0"/>
          <w:trHeight w:val="63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Razão Social: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Endereço: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CNPJ: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Website: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34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Gestor/a de Contato: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Email(s):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Telefone Comercial: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Telefone celular: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Principais Segmentos Econômicos em que Atua: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3312"/>
              </w:tabs>
              <w:spacing w:after="15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42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tcMar>
              <w:top w:w="80.0" w:type="dxa"/>
              <w:left w:w="80.0" w:type="dxa"/>
              <w:bottom w:w="80.0" w:type="dxa"/>
              <w:right w:w="80.0" w:type="dxa"/>
            </w:tcMar>
          </w:tcPr>
          <w:p w:rsidR="00000000" w:rsidDel="00000000" w:rsidP="00000000" w:rsidRDefault="00000000" w:rsidRPr="00000000" w14:paraId="0000008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432"/>
                <w:tab w:val="left" w:leader="none" w:pos="1152"/>
                <w:tab w:val="left" w:leader="none" w:pos="1872"/>
                <w:tab w:val="left" w:leader="none" w:pos="2592"/>
                <w:tab w:val="left" w:leader="none" w:pos="3312"/>
                <w:tab w:val="left" w:leader="none" w:pos="4032"/>
                <w:tab w:val="left" w:leader="none" w:pos="4752"/>
                <w:tab w:val="left" w:leader="none" w:pos="5472"/>
                <w:tab w:val="left" w:leader="none" w:pos="6192"/>
                <w:tab w:val="left" w:leader="none" w:pos="6912"/>
                <w:tab w:val="left" w:leader="none" w:pos="7632"/>
                <w:tab w:val="left" w:leader="none" w:pos="8352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  <w:tab w:val="left" w:leader="none" w:pos="8904"/>
              </w:tabs>
              <w:spacing w:after="150" w:before="0" w:line="240" w:lineRule="auto"/>
              <w:ind w:left="0" w:right="0" w:firstLine="0"/>
              <w:jc w:val="left"/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Em quais Unidades Federativas tem Investimento ou Operação? </w:t>
            </w:r>
          </w:p>
        </w:tc>
      </w:tr>
    </w:tbl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432"/>
          <w:tab w:val="left" w:leader="none" w:pos="1152"/>
          <w:tab w:val="left" w:leader="none" w:pos="1872"/>
          <w:tab w:val="left" w:leader="none" w:pos="2592"/>
          <w:tab w:val="left" w:leader="none" w:pos="3312"/>
          <w:tab w:val="left" w:leader="none" w:pos="4032"/>
          <w:tab w:val="left" w:leader="none" w:pos="4752"/>
          <w:tab w:val="left" w:leader="none" w:pos="5472"/>
          <w:tab w:val="left" w:leader="none" w:pos="6192"/>
          <w:tab w:val="left" w:leader="none" w:pos="6912"/>
          <w:tab w:val="left" w:leader="none" w:pos="7632"/>
          <w:tab w:val="left" w:leader="none" w:pos="8352"/>
          <w:tab w:val="left" w:leader="none" w:pos="8904"/>
          <w:tab w:val="left" w:leader="none" w:pos="8904"/>
          <w:tab w:val="left" w:leader="none" w:pos="8904"/>
          <w:tab w:val="left" w:leader="none" w:pos="8904"/>
          <w:tab w:val="left" w:leader="none" w:pos="8904"/>
        </w:tabs>
        <w:spacing w:after="150" w:before="0" w:line="240" w:lineRule="auto"/>
        <w:ind w:left="0" w:right="0" w:firstLine="0"/>
        <w:jc w:val="left"/>
        <w:rPr>
          <w:rFonts w:ascii="Cambria" w:cs="Cambria" w:eastAsia="Cambria" w:hAnsi="Cambria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93.00000000000006" w:lineRule="auto"/>
        <w:ind w:left="136" w:right="117" w:firstLine="0"/>
        <w:jc w:val="both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Para realizar o(s) pagamento trimestral/mensal dos valores, basta acessar o nosso </w:t>
      </w:r>
      <w:hyperlink r:id="rId9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sistema de pagamentos digita</w:t>
        </w:r>
      </w:hyperlink>
      <w:hyperlink r:id="rId10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000000"/>
            <w:sz w:val="22"/>
            <w:szCs w:val="22"/>
            <w:u w:val="none"/>
            <w:shd w:fill="auto" w:val="clear"/>
            <w:vertAlign w:val="baseline"/>
            <w:rtl w:val="0"/>
          </w:rPr>
          <w:t xml:space="preserve">l</w:t>
        </w:r>
      </w:hyperlink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(transferência bancária – Conta Banco do Brasil – Agência 1588-1, Conta Corrente 33500-2 – CNPJ: 12.840.634/0001-31 – Centro de Estratégias em Recursos Naturais e Energia - CERNE). Também pode ser solicitado procedimento por boleto bancário que emitiremos o respectivo a cada período.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93.00000000000006" w:lineRule="auto"/>
        <w:ind w:left="0" w:right="207" w:firstLine="136"/>
        <w:jc w:val="left"/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Info: (84) 2010-0340 / (84) 99408 1333 (Srta Pamela Castilhos), e-mail </w:t>
      </w:r>
      <w:hyperlink r:id="rId11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4cc"/>
            <w:sz w:val="22"/>
            <w:szCs w:val="22"/>
            <w:u w:val="single"/>
            <w:shd w:fill="auto" w:val="clear"/>
            <w:vertAlign w:val="baseline"/>
            <w:rtl w:val="0"/>
          </w:rPr>
          <w:t xml:space="preserve">contato@cerne.org.br</w:t>
        </w:r>
      </w:hyperlink>
      <w:hyperlink r:id="rId12">
        <w:r w:rsidDel="00000000" w:rsidR="00000000" w:rsidRPr="00000000">
          <w:rPr>
            <w:rFonts w:ascii="Cambria" w:cs="Cambria" w:eastAsia="Cambria" w:hAnsi="Cambria"/>
            <w:b w:val="0"/>
            <w:i w:val="0"/>
            <w:smallCaps w:val="0"/>
            <w:strike w:val="0"/>
            <w:color w:val="1154cc"/>
            <w:sz w:val="22"/>
            <w:szCs w:val="22"/>
            <w:u w:val="none"/>
            <w:shd w:fill="auto" w:val="clear"/>
            <w:vertAlign w:val="baseline"/>
            <w:rtl w:val="0"/>
          </w:rPr>
          <w:t xml:space="preserve"> </w:t>
        </w:r>
      </w:hyperlink>
      <w:r w:rsidDel="00000000" w:rsidR="00000000" w:rsidRPr="00000000">
        <w:rPr>
          <w:rtl w:val="0"/>
        </w:rPr>
      </w:r>
    </w:p>
    <w:sectPr>
      <w:headerReference r:id="rId13" w:type="default"/>
      <w:footerReference r:id="rId14" w:type="default"/>
      <w:pgSz w:h="15840" w:w="12240" w:orient="portrait"/>
      <w:pgMar w:bottom="1701" w:top="2552" w:left="1418" w:right="1418" w:header="720" w:footer="964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mbria"/>
  <w:font w:name="Times New Roman"/>
  <w:font w:name="Arial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libri" w:cs="Calibri" w:eastAsia="Calibri" w:hAnsi="Calibri"/>
        <w:b w:val="0"/>
        <w:i w:val="0"/>
        <w:smallCaps w:val="0"/>
        <w:strike w:val="0"/>
        <w:color w:val="215868"/>
        <w:sz w:val="18"/>
        <w:szCs w:val="18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18"/>
        <w:szCs w:val="18"/>
        <w:u w:val="none"/>
        <w:shd w:fill="auto" w:val="clear"/>
        <w:vertAlign w:val="baseline"/>
        <w:rtl w:val="0"/>
      </w:rPr>
      <w:tab/>
    </w: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205968"/>
        <w:sz w:val="18"/>
        <w:szCs w:val="18"/>
        <w:u w:val="none"/>
        <w:shd w:fill="auto" w:val="clear"/>
        <w:vertAlign w:val="baseline"/>
        <w:rtl w:val="0"/>
      </w:rPr>
      <w:t xml:space="preserve">cerne.org.br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left" w:leader="none" w:pos="1911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89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4"/>
      <w:tblW w:w="939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2547"/>
      <w:gridCol w:w="6847"/>
      <w:tblGridChange w:id="0">
        <w:tblGrid>
          <w:gridCol w:w="2547"/>
          <w:gridCol w:w="6847"/>
        </w:tblGrid>
      </w:tblGridChange>
    </w:tblGrid>
    <w:tr>
      <w:trPr>
        <w:cantSplit w:val="0"/>
        <w:tblHeader w:val="0"/>
      </w:trPr>
      <w:tc>
        <w:tcPr>
          <w:vAlign w:val="center"/>
        </w:tcPr>
        <w:p w:rsidR="00000000" w:rsidDel="00000000" w:rsidP="00000000" w:rsidRDefault="00000000" w:rsidRPr="00000000" w14:paraId="0000008A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Times New Roman" w:cs="Times New Roman" w:eastAsia="Times New Roman" w:hAnsi="Times New Roman"/>
              <w:b w:val="0"/>
              <w:i w:val="0"/>
              <w:smallCaps w:val="0"/>
              <w:strike w:val="0"/>
              <w:color w:val="000000"/>
              <w:sz w:val="20"/>
              <w:szCs w:val="20"/>
              <w:u w:val="none"/>
              <w:shd w:fill="auto" w:val="clear"/>
              <w:vertAlign w:val="baseline"/>
            </w:rPr>
            <w:drawing>
              <wp:inline distB="0" distT="0" distL="0" distR="0">
                <wp:extent cx="1115695" cy="774065"/>
                <wp:effectExtent b="0" l="0" r="0" t="0"/>
                <wp:docPr id="2006798479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15695" cy="774065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center"/>
        </w:tcPr>
        <w:p w:rsidR="00000000" w:rsidDel="00000000" w:rsidP="00000000" w:rsidRDefault="00000000" w:rsidRPr="00000000" w14:paraId="0000008B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205968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C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205968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D">
          <w:pPr>
            <w:keepNext w:val="0"/>
            <w:keepLines w:val="0"/>
            <w:pageBreakBefore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215868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205968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CENTRO DE ESTRATÉGIA EM RECURSOS NATURAIS E ENERGIA</w:t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8E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22"/>
              <w:szCs w:val="22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22"/>
              <w:szCs w:val="22"/>
              <w:u w:val="none"/>
              <w:shd w:fill="auto" w:val="clear"/>
              <w:vertAlign w:val="baseline"/>
              <w:rtl w:val="0"/>
            </w:rPr>
            <w:t xml:space="preserve">Center for Strategies in Natural Resources and Energy</w:t>
          </w:r>
        </w:p>
        <w:p w:rsidR="00000000" w:rsidDel="00000000" w:rsidP="00000000" w:rsidRDefault="00000000" w:rsidRPr="00000000" w14:paraId="0000008F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205968"/>
              <w:sz w:val="10"/>
              <w:szCs w:val="10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205968"/>
              <w:sz w:val="10"/>
              <w:szCs w:val="10"/>
              <w:u w:val="none"/>
              <w:shd w:fill="auto" w:val="clear"/>
              <w:vertAlign w:val="baseline"/>
              <w:rtl w:val="0"/>
            </w:rPr>
            <w:t xml:space="preserve">-</w:t>
          </w:r>
        </w:p>
        <w:p w:rsidR="00000000" w:rsidDel="00000000" w:rsidP="00000000" w:rsidRDefault="00000000" w:rsidRPr="00000000" w14:paraId="00000090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BRASIL EQUATORIAL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| </w:t>
          </w:r>
          <w:r w:rsidDel="00000000" w:rsidR="00000000" w:rsidRPr="00000000"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Equatorial Brazil</w:t>
          </w:r>
          <w:r w:rsidDel="00000000" w:rsidR="00000000" w:rsidRPr="00000000">
            <w:rPr>
              <w:rFonts w:ascii="Calibri" w:cs="Calibri" w:eastAsia="Calibri" w:hAnsi="Calibri"/>
              <w:b w:val="0"/>
              <w:i w:val="0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 </w:t>
          </w:r>
        </w:p>
        <w:p w:rsidR="00000000" w:rsidDel="00000000" w:rsidP="00000000" w:rsidRDefault="00000000" w:rsidRPr="00000000" w14:paraId="00000091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  <w:rtl w:val="0"/>
            </w:rPr>
            <w:t xml:space="preserve">Rio Grande do Norte, Ceará, Piauí, Maranhão, Pernambuco, Paraíba, Pará e Amapá</w:t>
          </w:r>
        </w:p>
        <w:p w:rsidR="00000000" w:rsidDel="00000000" w:rsidP="00000000" w:rsidRDefault="00000000" w:rsidRPr="00000000" w14:paraId="00000092">
          <w:pPr>
            <w:keepNext w:val="0"/>
            <w:keepLines w:val="0"/>
            <w:pageBreakBefore w:val="0"/>
            <w:widowControl w:val="1"/>
            <w:pBdr>
              <w:top w:color="000000" w:space="0" w:sz="0" w:val="none"/>
              <w:left w:color="000000" w:space="0" w:sz="0" w:val="none"/>
              <w:bottom w:color="000000" w:space="0" w:sz="0" w:val="none"/>
              <w:right w:color="000000" w:space="0" w:sz="0" w:val="none"/>
              <w:between w:color="000000" w:space="0" w:sz="0" w:val="none"/>
            </w:pBdr>
            <w:shd w:fill="auto" w:val="clear"/>
            <w:spacing w:after="0" w:before="0" w:line="240" w:lineRule="auto"/>
            <w:ind w:left="0" w:right="0" w:firstLine="0"/>
            <w:jc w:val="left"/>
            <w:rPr>
              <w:rFonts w:ascii="Calibri" w:cs="Calibri" w:eastAsia="Calibri" w:hAnsi="Calibri"/>
              <w:b w:val="0"/>
              <w:i w:val="1"/>
              <w:smallCaps w:val="0"/>
              <w:strike w:val="0"/>
              <w:color w:val="205968"/>
              <w:sz w:val="18"/>
              <w:szCs w:val="18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9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066" w:hanging="360"/>
      </w:pPr>
      <w:rPr/>
    </w:lvl>
    <w:lvl w:ilvl="1">
      <w:start w:val="1"/>
      <w:numFmt w:val="lowerLetter"/>
      <w:lvlText w:val="%2."/>
      <w:lvlJc w:val="left"/>
      <w:pPr>
        <w:ind w:left="1786" w:hanging="360"/>
      </w:pPr>
      <w:rPr/>
    </w:lvl>
    <w:lvl w:ilvl="2">
      <w:start w:val="1"/>
      <w:numFmt w:val="lowerRoman"/>
      <w:lvlText w:val="%3."/>
      <w:lvlJc w:val="right"/>
      <w:pPr>
        <w:ind w:left="2506" w:hanging="180"/>
      </w:pPr>
      <w:rPr/>
    </w:lvl>
    <w:lvl w:ilvl="3">
      <w:start w:val="1"/>
      <w:numFmt w:val="decimal"/>
      <w:lvlText w:val="%4."/>
      <w:lvlJc w:val="left"/>
      <w:pPr>
        <w:ind w:left="3226" w:hanging="360"/>
      </w:pPr>
      <w:rPr/>
    </w:lvl>
    <w:lvl w:ilvl="4">
      <w:start w:val="1"/>
      <w:numFmt w:val="lowerLetter"/>
      <w:lvlText w:val="%5."/>
      <w:lvlJc w:val="left"/>
      <w:pPr>
        <w:ind w:left="3946" w:hanging="360"/>
      </w:pPr>
      <w:rPr/>
    </w:lvl>
    <w:lvl w:ilvl="5">
      <w:start w:val="1"/>
      <w:numFmt w:val="lowerRoman"/>
      <w:lvlText w:val="%6."/>
      <w:lvlJc w:val="right"/>
      <w:pPr>
        <w:ind w:left="4666" w:hanging="180"/>
      </w:pPr>
      <w:rPr/>
    </w:lvl>
    <w:lvl w:ilvl="6">
      <w:start w:val="1"/>
      <w:numFmt w:val="decimal"/>
      <w:lvlText w:val="%7."/>
      <w:lvlJc w:val="left"/>
      <w:pPr>
        <w:ind w:left="5386" w:hanging="360"/>
      </w:pPr>
      <w:rPr/>
    </w:lvl>
    <w:lvl w:ilvl="7">
      <w:start w:val="1"/>
      <w:numFmt w:val="lowerLetter"/>
      <w:lvlText w:val="%8."/>
      <w:lvlJc w:val="left"/>
      <w:pPr>
        <w:ind w:left="6106" w:hanging="360"/>
      </w:pPr>
      <w:rPr/>
    </w:lvl>
    <w:lvl w:ilvl="8">
      <w:start w:val="1"/>
      <w:numFmt w:val="lowerRoman"/>
      <w:lvlText w:val="%9."/>
      <w:lvlJc w:val="right"/>
      <w:pPr>
        <w:ind w:left="6826" w:hanging="180"/>
      </w:pPr>
      <w:rPr/>
    </w:lvl>
  </w:abstractNum>
  <w:abstractNum w:abstractNumId="2">
    <w:lvl w:ilvl="0">
      <w:start w:val="1"/>
      <w:numFmt w:val="lowerRoman"/>
      <w:lvlText w:val="%1."/>
      <w:lvlJc w:val="left"/>
      <w:pPr>
        <w:ind w:left="709" w:hanging="478.99999999999994"/>
      </w:pPr>
      <w:rPr>
        <w:smallCaps w:val="0"/>
        <w:strike w:val="0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569" w:hanging="497"/>
      </w:pPr>
      <w:rPr>
        <w:smallCaps w:val="0"/>
        <w:strike w:val="0"/>
        <w:shd w:fill="auto" w:val="clear"/>
        <w:vertAlign w:val="baseline"/>
      </w:rPr>
    </w:lvl>
    <w:lvl w:ilvl="2">
      <w:start w:val="1"/>
      <w:numFmt w:val="lowerRoman"/>
      <w:lvlText w:val="%3."/>
      <w:lvlJc w:val="left"/>
      <w:pPr>
        <w:ind w:left="2289" w:hanging="439"/>
      </w:pPr>
      <w:rPr>
        <w:smallCaps w:val="0"/>
        <w:strike w:val="0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3009" w:hanging="497"/>
      </w:pPr>
      <w:rPr>
        <w:smallCaps w:val="0"/>
        <w:strike w:val="0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729" w:hanging="497"/>
      </w:pPr>
      <w:rPr>
        <w:smallCaps w:val="0"/>
        <w:strike w:val="0"/>
        <w:shd w:fill="auto" w:val="clear"/>
        <w:vertAlign w:val="baseline"/>
      </w:rPr>
    </w:lvl>
    <w:lvl w:ilvl="5">
      <w:start w:val="1"/>
      <w:numFmt w:val="lowerRoman"/>
      <w:lvlText w:val="%6."/>
      <w:lvlJc w:val="left"/>
      <w:pPr>
        <w:ind w:left="4449" w:hanging="439"/>
      </w:pPr>
      <w:rPr>
        <w:smallCaps w:val="0"/>
        <w:strike w:val="0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169" w:hanging="497"/>
      </w:pPr>
      <w:rPr>
        <w:smallCaps w:val="0"/>
        <w:strike w:val="0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889" w:hanging="497.0000000000009"/>
      </w:pPr>
      <w:rPr>
        <w:smallCaps w:val="0"/>
        <w:strike w:val="0"/>
        <w:shd w:fill="auto" w:val="clear"/>
        <w:vertAlign w:val="baseline"/>
      </w:rPr>
    </w:lvl>
    <w:lvl w:ilvl="8">
      <w:start w:val="1"/>
      <w:numFmt w:val="lowerRoman"/>
      <w:lvlText w:val="%9."/>
      <w:lvlJc w:val="left"/>
      <w:pPr>
        <w:ind w:left="6609" w:hanging="439"/>
      </w:pPr>
      <w:rPr>
        <w:smallCaps w:val="0"/>
        <w:strike w:val="0"/>
        <w:shd w:fill="auto" w:val="clear"/>
        <w:vertAlign w:val="baseli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pt_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Hyperlink">
    <w:name w:val="Hyperlink"/>
    <w:rPr>
      <w:u w:val="single"/>
    </w:rPr>
  </w:style>
  <w:style w:type="table" w:styleId="TableNormal" w:customStyle="1">
    <w:name w:val="Table Normal"/>
    <w:tblPr>
      <w:tblInd w:w="0.0" w:type="dxa"/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orpo" w:customStyle="1">
    <w:name w:val="Corpo"/>
    <w:rPr>
      <w:rFonts w:cs="Arial Unicode MS"/>
      <w:color w:val="000000"/>
      <w:u w:color="000000"/>
      <w14:textOutline w14:cap="flat" w14:cmpd="sng" w14:algn="ctr">
        <w14:noFill/>
        <w14:prstDash w14:val="solid"/>
        <w14:bevel/>
      </w14:textOutline>
    </w:rPr>
  </w:style>
  <w:style w:type="numbering" w:styleId="EstiloImportado3" w:customStyle="1">
    <w:name w:val="Estilo Importado 3"/>
    <w:pPr>
      <w:numPr>
        <w:numId w:val="1"/>
      </w:numPr>
    </w:pPr>
  </w:style>
  <w:style w:type="numbering" w:styleId="EstiloImportado1" w:customStyle="1">
    <w:name w:val="Estilo Importado 1"/>
    <w:pPr>
      <w:numPr>
        <w:numId w:val="3"/>
      </w:numPr>
    </w:pPr>
  </w:style>
  <w:style w:type="numbering" w:styleId="EstiloImportado4" w:customStyle="1">
    <w:name w:val="Estilo Importado 4"/>
    <w:pPr>
      <w:numPr>
        <w:numId w:val="5"/>
      </w:numPr>
    </w:pPr>
  </w:style>
  <w:style w:type="numbering" w:styleId="EstiloImportado5" w:customStyle="1">
    <w:name w:val="Estilo Importado 5"/>
    <w:pPr>
      <w:numPr>
        <w:numId w:val="7"/>
      </w:numPr>
    </w:pPr>
  </w:style>
  <w:style w:type="character" w:styleId="Nenhum" w:customStyle="1">
    <w:name w:val="Nenhum"/>
  </w:style>
  <w:style w:type="character" w:styleId="Hyperlink0" w:customStyle="1">
    <w:name w:val="Hyperlink.0"/>
    <w:basedOn w:val="Nenhum"/>
    <w:rPr>
      <w:rFonts w:ascii="Cambria" w:cs="Cambria" w:eastAsia="Cambria" w:hAnsi="Cambria"/>
      <w:outline w:val="0"/>
      <w:color w:val="000000"/>
      <w:sz w:val="22"/>
      <w:szCs w:val="22"/>
      <w:u w:color="000000" w:val="single"/>
    </w:rPr>
  </w:style>
  <w:style w:type="character" w:styleId="Hyperlink1" w:customStyle="1">
    <w:name w:val="Hyperlink.1"/>
    <w:basedOn w:val="Nenhum"/>
    <w:rPr>
      <w:rFonts w:ascii="Cambria" w:cs="Cambria" w:eastAsia="Cambria" w:hAnsi="Cambria"/>
      <w:outline w:val="0"/>
      <w:color w:val="000000"/>
      <w:sz w:val="22"/>
      <w:szCs w:val="22"/>
      <w:u w:color="000000"/>
    </w:rPr>
  </w:style>
  <w:style w:type="character" w:styleId="Hyperlink2" w:customStyle="1">
    <w:name w:val="Hyperlink.2"/>
    <w:basedOn w:val="Nenhum"/>
    <w:rPr>
      <w:rFonts w:ascii="Cambria" w:cs="Cambria" w:eastAsia="Cambria" w:hAnsi="Cambria"/>
      <w:outline w:val="0"/>
      <w:color w:val="1154cc"/>
      <w:sz w:val="22"/>
      <w:szCs w:val="22"/>
      <w:u w:color="1154cc" w:val="single"/>
    </w:rPr>
  </w:style>
  <w:style w:type="character" w:styleId="Hyperlink3" w:customStyle="1">
    <w:name w:val="Hyperlink.3"/>
    <w:basedOn w:val="Nenhum"/>
    <w:rPr>
      <w:rFonts w:ascii="Cambria" w:cs="Cambria" w:eastAsia="Cambria" w:hAnsi="Cambria"/>
      <w:outline w:val="0"/>
      <w:color w:val="1154cc"/>
      <w:sz w:val="22"/>
      <w:szCs w:val="22"/>
      <w:u w:color="1154cc"/>
    </w:rPr>
  </w:style>
  <w:style w:type="paragraph" w:styleId="Cabealho3" w:customStyle="1">
    <w:name w:val="Cabeçalho 3"/>
    <w:next w:val="Corpo"/>
    <w:pPr>
      <w:widowControl w:val="0"/>
      <w:ind w:left="3981" w:hanging="3981"/>
    </w:pPr>
    <w:rPr>
      <w:rFonts w:ascii="Trebuchet MS" w:cs="Trebuchet MS" w:eastAsia="Trebuchet MS" w:hAnsi="Trebuchet MS"/>
      <w:b w:val="1"/>
      <w:bCs w:val="1"/>
      <w:color w:val="000000"/>
      <w:sz w:val="18"/>
      <w:szCs w:val="18"/>
      <w:u w:color="000000"/>
      <w14:textOutline w14:cap="flat" w14:cmpd="sng" w14:algn="ctr">
        <w14:noFill/>
        <w14:prstDash w14:val="solid"/>
        <w14:bevel/>
      </w14:textOutline>
    </w:rPr>
  </w:style>
  <w:style w:type="paragraph" w:styleId="Cabealho">
    <w:name w:val="header"/>
    <w:basedOn w:val="Normal"/>
    <w:link w:val="CabealhoChar"/>
    <w:uiPriority w:val="99"/>
    <w:unhideWhenUsed w:val="1"/>
    <w:rsid w:val="008841FF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8841FF"/>
    <w:rPr>
      <w:sz w:val="24"/>
      <w:szCs w:val="24"/>
      <w:lang w:eastAsia="en-US" w:val="en-US"/>
    </w:rPr>
  </w:style>
  <w:style w:type="paragraph" w:styleId="Rodap">
    <w:name w:val="footer"/>
    <w:basedOn w:val="Normal"/>
    <w:link w:val="RodapChar"/>
    <w:uiPriority w:val="99"/>
    <w:unhideWhenUsed w:val="1"/>
    <w:rsid w:val="008841FF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8841FF"/>
    <w:rPr>
      <w:sz w:val="24"/>
      <w:szCs w:val="24"/>
      <w:lang w:eastAsia="en-US"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8841FF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8841FF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Web">
    <w:name w:val="Normal (Web)"/>
    <w:basedOn w:val="Normal"/>
    <w:uiPriority w:val="99"/>
    <w:unhideWhenUsed w:val="1"/>
    <w:rsid w:val="00B42C7C"/>
    <w:pPr>
      <w:pBdr>
        <w:top w:color="auto" w:space="0" w:sz="0" w:val="none"/>
        <w:left w:color="auto" w:space="0" w:sz="0" w:val="none"/>
        <w:bottom w:color="auto" w:space="0" w:sz="0" w:val="none"/>
        <w:right w:color="auto" w:space="0" w:sz="0" w:val="none"/>
        <w:between w:color="auto" w:space="0" w:sz="0" w:val="none"/>
        <w:bar w:color="auto" w:space="0" w:sz="0" w:val="none"/>
      </w:pBdr>
      <w:spacing w:after="100" w:afterAutospacing="1" w:before="100" w:beforeAutospacing="1"/>
    </w:pPr>
    <w:rPr>
      <w:rFonts w:eastAsia="Times New Roman"/>
      <w:bdr w:color="auto" w:space="0" w:sz="0" w:val="none"/>
      <w:lang w:eastAsia="pt-BR" w:val="pt-BR"/>
    </w:rPr>
  </w:style>
  <w:style w:type="character" w:styleId="nfase">
    <w:name w:val="Emphasis"/>
    <w:basedOn w:val="Fontepargpadro"/>
    <w:uiPriority w:val="20"/>
    <w:qFormat w:val="1"/>
    <w:rsid w:val="00B42C7C"/>
    <w:rPr>
      <w:i w:val="1"/>
      <w:iCs w:val="1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contato@cerne.org.br" TargetMode="External"/><Relationship Id="rId10" Type="http://schemas.openxmlformats.org/officeDocument/2006/relationships/hyperlink" Target="http://www.mantenedorcerne.com.br/renovacao-adesao/" TargetMode="External"/><Relationship Id="rId13" Type="http://schemas.openxmlformats.org/officeDocument/2006/relationships/header" Target="header1.xml"/><Relationship Id="rId12" Type="http://schemas.openxmlformats.org/officeDocument/2006/relationships/hyperlink" Target="mailto:contato@cerne.org.br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mantenedorcerne.com.br/renovacao-adesao/" TargetMode="External"/><Relationship Id="rId14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tV5lzKFGIEEC6RDhcnFVBkIzCw==">CgMxLjA4AHIhMWRfUElqVm03SjVNNUFjcjAxeUV6S21vem5meWktdGpI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2025-04-21T20:11:00Z</dcterms:created>
  <dc:creator>Darlan Santos</dc:creator>
</cp:coreProperties>
</file>